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14" w:rsidRDefault="00127E77">
      <w:r>
        <w:rPr>
          <w:noProof/>
          <w:lang w:eastAsia="en-GB"/>
        </w:rPr>
        <w:pict>
          <v:shapetype id="_x0000_t32" coordsize="21600,21600" o:spt="32" o:oned="t" path="m,l21600,21600e" filled="f">
            <v:path arrowok="t" fillok="f" o:connecttype="none"/>
            <o:lock v:ext="edit" shapetype="t"/>
          </v:shapetype>
          <v:shape id="_x0000_s1027" type="#_x0000_t32" style="position:absolute;margin-left:-8.25pt;margin-top:18.1pt;width:493.5pt;height:.05pt;z-index:251659264" o:connectortype="straight" strokecolor="#c90"/>
        </w:pict>
      </w:r>
      <w:r>
        <w:rPr>
          <w:noProof/>
          <w:lang w:eastAsia="en-GB"/>
        </w:rPr>
        <w:pict>
          <v:shape id="_x0000_s1026" type="#_x0000_t32" style="position:absolute;margin-left:-8.25pt;margin-top:14.95pt;width:492.75pt;height:.05pt;z-index:251658240" o:connectortype="straight" strokecolor="#002060" strokeweight="1.75pt"/>
        </w:pic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1842"/>
        <w:gridCol w:w="3969"/>
      </w:tblGrid>
      <w:tr w:rsidR="0099797A" w:rsidTr="0099797A">
        <w:trPr>
          <w:trHeight w:val="621"/>
        </w:trPr>
        <w:tc>
          <w:tcPr>
            <w:tcW w:w="3936" w:type="dxa"/>
            <w:vMerge w:val="restart"/>
          </w:tcPr>
          <w:p w:rsidR="0099797A" w:rsidRDefault="0099797A" w:rsidP="00CC3B94"/>
          <w:p w:rsidR="0099797A" w:rsidRDefault="0099797A" w:rsidP="00CC3B94">
            <w:r w:rsidRPr="0099797A">
              <w:rPr>
                <w:noProof/>
                <w:lang w:eastAsia="en-GB"/>
              </w:rPr>
              <w:drawing>
                <wp:inline distT="0" distB="0" distL="0" distR="0">
                  <wp:extent cx="2239200" cy="1628775"/>
                  <wp:effectExtent l="76200" t="76200" r="123000" b="85725"/>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239200" cy="162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93A55" w:rsidRDefault="00093A55" w:rsidP="00CC3B94"/>
          <w:p w:rsidR="00093A55" w:rsidRDefault="00093A55" w:rsidP="00CC3B94">
            <w:r w:rsidRPr="00093A55">
              <w:rPr>
                <w:noProof/>
                <w:lang w:eastAsia="en-GB"/>
              </w:rPr>
              <w:drawing>
                <wp:inline distT="0" distB="0" distL="0" distR="0">
                  <wp:extent cx="2239200" cy="1628775"/>
                  <wp:effectExtent l="76200" t="76200" r="123000" b="85725"/>
                  <wp:docPr id="17" name="Picture 6" descr="G:\New Folder\city\IMG_33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New Folder\city\IMG_3355.JPG"/>
                          <pic:cNvPicPr>
                            <a:picLocks noChangeAspect="1" noChangeArrowheads="1"/>
                          </pic:cNvPicPr>
                        </pic:nvPicPr>
                        <pic:blipFill>
                          <a:blip r:embed="rId9" cstate="print"/>
                          <a:srcRect/>
                          <a:stretch>
                            <a:fillRect/>
                          </a:stretch>
                        </pic:blipFill>
                        <pic:spPr bwMode="auto">
                          <a:xfrm>
                            <a:off x="0" y="0"/>
                            <a:ext cx="2239200" cy="162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93A55" w:rsidRDefault="00093A55" w:rsidP="00CC3B94"/>
          <w:p w:rsidR="00093A55" w:rsidRDefault="00093A55" w:rsidP="00CC3B94">
            <w:r w:rsidRPr="00093A55">
              <w:rPr>
                <w:noProof/>
                <w:lang w:eastAsia="en-GB"/>
              </w:rPr>
              <w:drawing>
                <wp:inline distT="0" distB="0" distL="0" distR="0">
                  <wp:extent cx="2239200" cy="1628775"/>
                  <wp:effectExtent l="76200" t="76200" r="123000" b="85725"/>
                  <wp:docPr id="1" name="Picture 7" descr="G:\New Folder\city\interceptor placed.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G:\New Folder\city\interceptor placed.jpeg"/>
                          <pic:cNvPicPr>
                            <a:picLocks noChangeAspect="1" noChangeArrowheads="1"/>
                          </pic:cNvPicPr>
                        </pic:nvPicPr>
                        <pic:blipFill>
                          <a:blip r:embed="rId10" cstate="print"/>
                          <a:srcRect/>
                          <a:stretch>
                            <a:fillRect/>
                          </a:stretch>
                        </pic:blipFill>
                        <pic:spPr bwMode="auto">
                          <a:xfrm>
                            <a:off x="0" y="0"/>
                            <a:ext cx="2239200" cy="162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93A55" w:rsidRDefault="00093A55" w:rsidP="00CC3B94"/>
          <w:p w:rsidR="00093A55" w:rsidRDefault="00093A55" w:rsidP="00CC3B94">
            <w:r w:rsidRPr="00093A55">
              <w:rPr>
                <w:noProof/>
                <w:lang w:eastAsia="en-GB"/>
              </w:rPr>
              <w:drawing>
                <wp:inline distT="0" distB="0" distL="0" distR="0">
                  <wp:extent cx="2239200" cy="1628775"/>
                  <wp:effectExtent l="76200" t="76200" r="123000" b="85725"/>
                  <wp:docPr id="2" name="Picture 8" descr="G:\New Folder\city\P10100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G:\New Folder\city\P1010087.JPG"/>
                          <pic:cNvPicPr>
                            <a:picLocks noChangeAspect="1" noChangeArrowheads="1"/>
                          </pic:cNvPicPr>
                        </pic:nvPicPr>
                        <pic:blipFill>
                          <a:blip r:embed="rId11" cstate="print"/>
                          <a:srcRect/>
                          <a:stretch>
                            <a:fillRect/>
                          </a:stretch>
                        </pic:blipFill>
                        <pic:spPr bwMode="auto">
                          <a:xfrm>
                            <a:off x="0" y="0"/>
                            <a:ext cx="2239200" cy="162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9797A" w:rsidRDefault="0099797A" w:rsidP="00CC3B94"/>
          <w:p w:rsidR="0099797A" w:rsidRDefault="0099797A" w:rsidP="00CC3B94"/>
          <w:p w:rsidR="0099797A" w:rsidRDefault="0099797A" w:rsidP="00CC3B94"/>
          <w:p w:rsidR="0099797A" w:rsidRDefault="0099797A" w:rsidP="00CC3B94"/>
          <w:p w:rsidR="0099797A" w:rsidRDefault="0099797A" w:rsidP="00CC3B94"/>
          <w:p w:rsidR="0099797A" w:rsidRDefault="0099797A" w:rsidP="00CC3B94"/>
        </w:tc>
        <w:tc>
          <w:tcPr>
            <w:tcW w:w="1842" w:type="dxa"/>
            <w:vAlign w:val="center"/>
          </w:tcPr>
          <w:p w:rsidR="0099797A" w:rsidRPr="003B2805" w:rsidRDefault="0099797A" w:rsidP="00CC3B94">
            <w:pPr>
              <w:rPr>
                <w:rFonts w:ascii="Georgia" w:hAnsi="Georgia"/>
                <w:color w:val="002060"/>
              </w:rPr>
            </w:pPr>
            <w:r w:rsidRPr="003B2805">
              <w:rPr>
                <w:rFonts w:ascii="Georgia" w:hAnsi="Georgia"/>
                <w:color w:val="002060"/>
              </w:rPr>
              <w:lastRenderedPageBreak/>
              <w:t>Project :</w:t>
            </w:r>
          </w:p>
        </w:tc>
        <w:tc>
          <w:tcPr>
            <w:tcW w:w="3969" w:type="dxa"/>
            <w:vAlign w:val="center"/>
          </w:tcPr>
          <w:p w:rsidR="0099797A" w:rsidRPr="003B2805" w:rsidRDefault="0099797A" w:rsidP="00CC3B94">
            <w:pPr>
              <w:rPr>
                <w:rFonts w:ascii="Georgia" w:hAnsi="Georgia"/>
              </w:rPr>
            </w:pPr>
            <w:r>
              <w:rPr>
                <w:rFonts w:ascii="Georgia" w:hAnsi="Georgia"/>
              </w:rPr>
              <w:t xml:space="preserve">Manchester City Football </w:t>
            </w:r>
            <w:r w:rsidR="00010FD9">
              <w:rPr>
                <w:rFonts w:ascii="Georgia" w:hAnsi="Georgia"/>
              </w:rPr>
              <w:t xml:space="preserve">Club </w:t>
            </w:r>
            <w:r>
              <w:rPr>
                <w:rFonts w:ascii="Georgia" w:hAnsi="Georgia"/>
              </w:rPr>
              <w:t>Training Academy</w:t>
            </w:r>
            <w:r w:rsidR="00010FD9">
              <w:rPr>
                <w:rFonts w:ascii="Georgia" w:hAnsi="Georgia"/>
              </w:rPr>
              <w:t xml:space="preserve">, </w:t>
            </w:r>
            <w:proofErr w:type="spellStart"/>
            <w:r w:rsidR="00010FD9">
              <w:rPr>
                <w:rFonts w:ascii="Georgia" w:hAnsi="Georgia"/>
              </w:rPr>
              <w:t>Eastlands</w:t>
            </w:r>
            <w:proofErr w:type="spellEnd"/>
            <w:r w:rsidR="00010FD9">
              <w:rPr>
                <w:rFonts w:ascii="Georgia" w:hAnsi="Georgia"/>
              </w:rPr>
              <w:t>, Manchester</w:t>
            </w:r>
          </w:p>
        </w:tc>
      </w:tr>
      <w:tr w:rsidR="0099797A" w:rsidTr="0099797A">
        <w:trPr>
          <w:trHeight w:val="617"/>
        </w:trPr>
        <w:tc>
          <w:tcPr>
            <w:tcW w:w="3936" w:type="dxa"/>
            <w:vMerge/>
          </w:tcPr>
          <w:p w:rsidR="0099797A" w:rsidRDefault="0099797A" w:rsidP="00CC3B94"/>
        </w:tc>
        <w:tc>
          <w:tcPr>
            <w:tcW w:w="1842" w:type="dxa"/>
            <w:vAlign w:val="center"/>
          </w:tcPr>
          <w:p w:rsidR="0099797A" w:rsidRPr="003B2805" w:rsidRDefault="0099797A" w:rsidP="00CC3B94">
            <w:pPr>
              <w:rPr>
                <w:rFonts w:ascii="Georgia" w:hAnsi="Georgia"/>
                <w:color w:val="002060"/>
              </w:rPr>
            </w:pPr>
            <w:r w:rsidRPr="003B2805">
              <w:rPr>
                <w:rFonts w:ascii="Georgia" w:hAnsi="Georgia"/>
                <w:color w:val="002060"/>
              </w:rPr>
              <w:t>Client:</w:t>
            </w:r>
          </w:p>
        </w:tc>
        <w:tc>
          <w:tcPr>
            <w:tcW w:w="3969" w:type="dxa"/>
            <w:vAlign w:val="center"/>
          </w:tcPr>
          <w:p w:rsidR="0099797A" w:rsidRPr="003B2805" w:rsidRDefault="0099797A" w:rsidP="00CC3B94">
            <w:pPr>
              <w:rPr>
                <w:rFonts w:ascii="Georgia" w:hAnsi="Georgia"/>
              </w:rPr>
            </w:pPr>
            <w:r>
              <w:rPr>
                <w:rFonts w:ascii="Georgia" w:hAnsi="Georgia"/>
              </w:rPr>
              <w:t xml:space="preserve">BAM Construction </w:t>
            </w:r>
          </w:p>
        </w:tc>
      </w:tr>
      <w:tr w:rsidR="0099797A" w:rsidTr="0099797A">
        <w:trPr>
          <w:trHeight w:val="624"/>
        </w:trPr>
        <w:tc>
          <w:tcPr>
            <w:tcW w:w="3936" w:type="dxa"/>
            <w:vMerge/>
          </w:tcPr>
          <w:p w:rsidR="0099797A" w:rsidRDefault="0099797A" w:rsidP="00CC3B94"/>
        </w:tc>
        <w:tc>
          <w:tcPr>
            <w:tcW w:w="1842" w:type="dxa"/>
            <w:vAlign w:val="center"/>
          </w:tcPr>
          <w:p w:rsidR="0099797A" w:rsidRPr="003B2805" w:rsidRDefault="0099797A" w:rsidP="00CC3B94">
            <w:pPr>
              <w:rPr>
                <w:rFonts w:ascii="Georgia" w:hAnsi="Georgia"/>
                <w:color w:val="002060"/>
              </w:rPr>
            </w:pPr>
            <w:r>
              <w:rPr>
                <w:rFonts w:ascii="Georgia" w:hAnsi="Georgia"/>
                <w:color w:val="002060"/>
              </w:rPr>
              <w:t xml:space="preserve">Total Project </w:t>
            </w:r>
            <w:r w:rsidRPr="003B2805">
              <w:rPr>
                <w:rFonts w:ascii="Georgia" w:hAnsi="Georgia"/>
                <w:color w:val="002060"/>
              </w:rPr>
              <w:t>Value:</w:t>
            </w:r>
          </w:p>
        </w:tc>
        <w:tc>
          <w:tcPr>
            <w:tcW w:w="3969" w:type="dxa"/>
            <w:vAlign w:val="center"/>
          </w:tcPr>
          <w:p w:rsidR="0099797A" w:rsidRPr="003B2805" w:rsidRDefault="0099797A" w:rsidP="0099797A">
            <w:pPr>
              <w:rPr>
                <w:rFonts w:ascii="Georgia" w:hAnsi="Georgia"/>
              </w:rPr>
            </w:pPr>
            <w:r>
              <w:rPr>
                <w:rFonts w:ascii="Georgia" w:hAnsi="Georgia"/>
              </w:rPr>
              <w:t>£150</w:t>
            </w:r>
            <w:r w:rsidR="00010FD9">
              <w:rPr>
                <w:rFonts w:ascii="Georgia" w:hAnsi="Georgia"/>
              </w:rPr>
              <w:t xml:space="preserve"> </w:t>
            </w:r>
            <w:r>
              <w:rPr>
                <w:rFonts w:ascii="Georgia" w:hAnsi="Georgia"/>
              </w:rPr>
              <w:t>M</w:t>
            </w:r>
            <w:r w:rsidR="00010FD9">
              <w:rPr>
                <w:rFonts w:ascii="Georgia" w:hAnsi="Georgia"/>
              </w:rPr>
              <w:t>illion</w:t>
            </w:r>
          </w:p>
        </w:tc>
      </w:tr>
      <w:tr w:rsidR="0099797A" w:rsidTr="0099797A">
        <w:trPr>
          <w:trHeight w:val="562"/>
        </w:trPr>
        <w:tc>
          <w:tcPr>
            <w:tcW w:w="3936" w:type="dxa"/>
            <w:vMerge/>
          </w:tcPr>
          <w:p w:rsidR="0099797A" w:rsidRDefault="0099797A" w:rsidP="00CC3B94"/>
        </w:tc>
        <w:tc>
          <w:tcPr>
            <w:tcW w:w="1842" w:type="dxa"/>
            <w:vAlign w:val="center"/>
          </w:tcPr>
          <w:p w:rsidR="0099797A" w:rsidRPr="003B2805" w:rsidRDefault="0099797A" w:rsidP="00CC3B94">
            <w:pPr>
              <w:rPr>
                <w:rFonts w:ascii="Georgia" w:hAnsi="Georgia"/>
                <w:color w:val="002060"/>
              </w:rPr>
            </w:pPr>
            <w:r>
              <w:rPr>
                <w:rFonts w:ascii="Georgia" w:hAnsi="Georgia"/>
                <w:color w:val="002060"/>
              </w:rPr>
              <w:t xml:space="preserve">Subcontract </w:t>
            </w:r>
            <w:r w:rsidRPr="003B2805">
              <w:rPr>
                <w:rFonts w:ascii="Georgia" w:hAnsi="Georgia"/>
                <w:color w:val="002060"/>
              </w:rPr>
              <w:t>Value:</w:t>
            </w:r>
          </w:p>
        </w:tc>
        <w:tc>
          <w:tcPr>
            <w:tcW w:w="3969" w:type="dxa"/>
            <w:vAlign w:val="center"/>
          </w:tcPr>
          <w:p w:rsidR="0099797A" w:rsidRPr="003B2805" w:rsidRDefault="0099797A" w:rsidP="00CC3B94">
            <w:pPr>
              <w:rPr>
                <w:rFonts w:ascii="Georgia" w:hAnsi="Georgia"/>
              </w:rPr>
            </w:pPr>
            <w:r>
              <w:rPr>
                <w:rFonts w:ascii="Georgia" w:hAnsi="Georgia"/>
              </w:rPr>
              <w:t>£7</w:t>
            </w:r>
            <w:r w:rsidR="00010FD9">
              <w:rPr>
                <w:rFonts w:ascii="Georgia" w:hAnsi="Georgia"/>
              </w:rPr>
              <w:t xml:space="preserve"> </w:t>
            </w:r>
            <w:r>
              <w:rPr>
                <w:rFonts w:ascii="Georgia" w:hAnsi="Georgia"/>
              </w:rPr>
              <w:t>M</w:t>
            </w:r>
            <w:r w:rsidR="00010FD9">
              <w:rPr>
                <w:rFonts w:ascii="Georgia" w:hAnsi="Georgia"/>
              </w:rPr>
              <w:t>illion</w:t>
            </w:r>
          </w:p>
        </w:tc>
      </w:tr>
      <w:tr w:rsidR="0099797A" w:rsidTr="0099797A">
        <w:trPr>
          <w:trHeight w:val="570"/>
        </w:trPr>
        <w:tc>
          <w:tcPr>
            <w:tcW w:w="3936" w:type="dxa"/>
            <w:vMerge/>
          </w:tcPr>
          <w:p w:rsidR="0099797A" w:rsidRDefault="0099797A" w:rsidP="00CC3B94"/>
        </w:tc>
        <w:tc>
          <w:tcPr>
            <w:tcW w:w="1842" w:type="dxa"/>
            <w:vAlign w:val="center"/>
          </w:tcPr>
          <w:p w:rsidR="0099797A" w:rsidRPr="003B2805" w:rsidRDefault="0099797A" w:rsidP="00CC3B94">
            <w:pPr>
              <w:rPr>
                <w:rFonts w:ascii="Georgia" w:hAnsi="Georgia"/>
                <w:color w:val="002060"/>
              </w:rPr>
            </w:pPr>
            <w:r w:rsidRPr="003B2805">
              <w:rPr>
                <w:rFonts w:ascii="Georgia" w:hAnsi="Georgia"/>
                <w:color w:val="002060"/>
              </w:rPr>
              <w:t>Commenced:</w:t>
            </w:r>
          </w:p>
        </w:tc>
        <w:tc>
          <w:tcPr>
            <w:tcW w:w="3969" w:type="dxa"/>
            <w:vAlign w:val="center"/>
          </w:tcPr>
          <w:p w:rsidR="0099797A" w:rsidRPr="003B2805" w:rsidRDefault="0099797A" w:rsidP="00CC3B94">
            <w:pPr>
              <w:rPr>
                <w:rFonts w:ascii="Georgia" w:hAnsi="Georgia"/>
              </w:rPr>
            </w:pPr>
            <w:r>
              <w:rPr>
                <w:rFonts w:ascii="Georgia" w:hAnsi="Georgia"/>
              </w:rPr>
              <w:t xml:space="preserve">February 2011 </w:t>
            </w:r>
          </w:p>
        </w:tc>
      </w:tr>
      <w:tr w:rsidR="0099797A" w:rsidTr="0099797A">
        <w:trPr>
          <w:trHeight w:val="550"/>
        </w:trPr>
        <w:tc>
          <w:tcPr>
            <w:tcW w:w="3936" w:type="dxa"/>
            <w:vMerge/>
          </w:tcPr>
          <w:p w:rsidR="0099797A" w:rsidRDefault="0099797A" w:rsidP="00CC3B94"/>
        </w:tc>
        <w:tc>
          <w:tcPr>
            <w:tcW w:w="1842" w:type="dxa"/>
            <w:vAlign w:val="center"/>
          </w:tcPr>
          <w:p w:rsidR="0099797A" w:rsidRDefault="0099797A" w:rsidP="00CC3B94">
            <w:pPr>
              <w:spacing w:line="360" w:lineRule="auto"/>
              <w:rPr>
                <w:rFonts w:ascii="Georgia" w:hAnsi="Georgia"/>
                <w:color w:val="002060"/>
              </w:rPr>
            </w:pPr>
            <w:r>
              <w:rPr>
                <w:rFonts w:ascii="Georgia" w:hAnsi="Georgia"/>
                <w:color w:val="002060"/>
              </w:rPr>
              <w:t>Duration:</w:t>
            </w:r>
          </w:p>
        </w:tc>
        <w:tc>
          <w:tcPr>
            <w:tcW w:w="3969" w:type="dxa"/>
            <w:vAlign w:val="center"/>
          </w:tcPr>
          <w:p w:rsidR="0099797A" w:rsidRPr="003B2805" w:rsidRDefault="0099797A" w:rsidP="00CC3B94">
            <w:pPr>
              <w:rPr>
                <w:rFonts w:ascii="Georgia" w:hAnsi="Georgia"/>
              </w:rPr>
            </w:pPr>
            <w:r>
              <w:rPr>
                <w:rFonts w:ascii="Georgia" w:hAnsi="Georgia"/>
              </w:rPr>
              <w:t>72 Weeks</w:t>
            </w:r>
          </w:p>
        </w:tc>
      </w:tr>
      <w:tr w:rsidR="0099797A" w:rsidTr="0099797A">
        <w:trPr>
          <w:trHeight w:val="7232"/>
        </w:trPr>
        <w:tc>
          <w:tcPr>
            <w:tcW w:w="3936" w:type="dxa"/>
            <w:vMerge/>
          </w:tcPr>
          <w:p w:rsidR="0099797A" w:rsidRDefault="0099797A" w:rsidP="00CC3B94"/>
        </w:tc>
        <w:tc>
          <w:tcPr>
            <w:tcW w:w="5811" w:type="dxa"/>
            <w:gridSpan w:val="2"/>
          </w:tcPr>
          <w:p w:rsidR="0099797A" w:rsidRPr="003B2805" w:rsidRDefault="0099797A" w:rsidP="00CC3B94">
            <w:pPr>
              <w:jc w:val="both"/>
              <w:rPr>
                <w:rFonts w:ascii="Georgia" w:hAnsi="Georgia"/>
                <w:color w:val="002060"/>
              </w:rPr>
            </w:pPr>
          </w:p>
          <w:p w:rsidR="0099797A" w:rsidRDefault="0099797A" w:rsidP="00CC3B94">
            <w:pPr>
              <w:spacing w:line="360" w:lineRule="auto"/>
              <w:jc w:val="both"/>
              <w:rPr>
                <w:rFonts w:ascii="Georgia" w:hAnsi="Georgia"/>
              </w:rPr>
            </w:pPr>
            <w:r>
              <w:rPr>
                <w:rFonts w:ascii="Georgia" w:hAnsi="Georgia"/>
                <w:color w:val="002060"/>
              </w:rPr>
              <w:t>Scope:</w:t>
            </w:r>
            <w:r w:rsidRPr="003B2805">
              <w:rPr>
                <w:rFonts w:ascii="Georgia" w:hAnsi="Georgia"/>
                <w:color w:val="002060"/>
              </w:rPr>
              <w:t xml:space="preserve"> </w:t>
            </w:r>
            <w:r>
              <w:rPr>
                <w:rFonts w:ascii="Georgia" w:hAnsi="Georgia"/>
                <w:color w:val="002060"/>
              </w:rPr>
              <w:t xml:space="preserve">                   </w:t>
            </w:r>
            <w:r>
              <w:rPr>
                <w:rFonts w:ascii="Georgia" w:hAnsi="Georgia"/>
              </w:rPr>
              <w:t>A new training facility and headquarters for Manchester City Football Club whereby Murraywood carried out groundworks. Work predominantly consisted of extensive drainage and service installation, but also extended to foundations for the new stadium and other hard landscaping aspects.</w:t>
            </w:r>
          </w:p>
          <w:p w:rsidR="0099797A" w:rsidRDefault="0099797A" w:rsidP="00CC3B94">
            <w:pPr>
              <w:spacing w:line="360" w:lineRule="auto"/>
              <w:jc w:val="both"/>
              <w:rPr>
                <w:rFonts w:ascii="Georgia" w:hAnsi="Georgia"/>
              </w:rPr>
            </w:pPr>
            <w:r>
              <w:rPr>
                <w:rFonts w:ascii="Georgia" w:hAnsi="Georgia"/>
              </w:rPr>
              <w:t xml:space="preserve"> </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Over 40,000 linear metres of service ducting to serve the facility.</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Over 2,000 linear metres of drainage ranging in size from 300mm to 900mm diameter.</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Reinforced concrete foundations for the North West Development Arena Stadium.</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Internal reinforced concrete floor slabs.</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20,000m</w:t>
            </w:r>
            <w:r>
              <w:rPr>
                <w:rFonts w:ascii="Times New Roman" w:hAnsi="Times New Roman" w:cs="Times New Roman"/>
              </w:rPr>
              <w:t xml:space="preserve">² </w:t>
            </w:r>
            <w:r>
              <w:rPr>
                <w:rFonts w:ascii="Georgia" w:hAnsi="Georgia"/>
              </w:rPr>
              <w:t>External exposed aggregate concrete ‘</w:t>
            </w:r>
            <w:proofErr w:type="spellStart"/>
            <w:r>
              <w:rPr>
                <w:rFonts w:ascii="Georgia" w:hAnsi="Georgia"/>
              </w:rPr>
              <w:t>Artevia</w:t>
            </w:r>
            <w:proofErr w:type="spellEnd"/>
            <w:r>
              <w:rPr>
                <w:rFonts w:ascii="Georgia" w:hAnsi="Georgia"/>
              </w:rPr>
              <w:t>’ footpaths and pedestrian zones.</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Installation of 5 no. Rainwater harvesting tanks.</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Installation of 2 no. 3m x 12m diameter storage tanks.</w:t>
            </w:r>
          </w:p>
          <w:p w:rsidR="0099797A" w:rsidRDefault="0099797A" w:rsidP="00CC3B94">
            <w:pPr>
              <w:pStyle w:val="ListParagraph"/>
              <w:numPr>
                <w:ilvl w:val="0"/>
                <w:numId w:val="1"/>
              </w:numPr>
              <w:spacing w:line="360" w:lineRule="auto"/>
              <w:jc w:val="both"/>
              <w:rPr>
                <w:rFonts w:ascii="Georgia" w:hAnsi="Georgia"/>
              </w:rPr>
            </w:pPr>
            <w:r>
              <w:rPr>
                <w:rFonts w:ascii="Georgia" w:hAnsi="Georgia"/>
              </w:rPr>
              <w:t xml:space="preserve">Installation of 14 no </w:t>
            </w:r>
            <w:proofErr w:type="spellStart"/>
            <w:r>
              <w:rPr>
                <w:rFonts w:ascii="Georgia" w:hAnsi="Georgia"/>
              </w:rPr>
              <w:t>Musco</w:t>
            </w:r>
            <w:proofErr w:type="spellEnd"/>
            <w:r>
              <w:rPr>
                <w:rFonts w:ascii="Georgia" w:hAnsi="Georgia"/>
              </w:rPr>
              <w:t xml:space="preserve"> flood lighting columns to illuminate pitches.</w:t>
            </w:r>
          </w:p>
          <w:p w:rsidR="0099797A" w:rsidRPr="00920310" w:rsidRDefault="0099797A" w:rsidP="00CC3B94">
            <w:pPr>
              <w:pStyle w:val="ListParagraph"/>
              <w:numPr>
                <w:ilvl w:val="0"/>
                <w:numId w:val="1"/>
              </w:numPr>
              <w:spacing w:line="360" w:lineRule="auto"/>
              <w:jc w:val="both"/>
              <w:rPr>
                <w:rFonts w:ascii="Georgia" w:hAnsi="Georgia"/>
              </w:rPr>
            </w:pPr>
            <w:r>
              <w:rPr>
                <w:rFonts w:ascii="Georgia" w:hAnsi="Georgia"/>
              </w:rPr>
              <w:t>Car park surfacing for over 1500 cars.</w:t>
            </w:r>
          </w:p>
        </w:tc>
      </w:tr>
    </w:tbl>
    <w:p w:rsidR="00C24ACB" w:rsidRDefault="005A7E03"/>
    <w:sectPr w:rsidR="00C24ACB" w:rsidSect="008A0A7A">
      <w:headerReference w:type="default" r:id="rId12"/>
      <w:footerReference w:type="default" r:id="rId13"/>
      <w:pgSz w:w="11906" w:h="16838"/>
      <w:pgMar w:top="1440" w:right="1440" w:bottom="1440" w:left="1440"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E03" w:rsidRDefault="005A7E03" w:rsidP="007B6614">
      <w:pPr>
        <w:spacing w:after="0" w:line="240" w:lineRule="auto"/>
      </w:pPr>
      <w:r>
        <w:separator/>
      </w:r>
    </w:p>
  </w:endnote>
  <w:endnote w:type="continuationSeparator" w:id="0">
    <w:p w:rsidR="005A7E03" w:rsidRDefault="005A7E03" w:rsidP="007B6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1B" w:rsidRDefault="00766E1B">
    <w:pPr>
      <w:pStyle w:val="Footer"/>
    </w:pPr>
  </w:p>
  <w:p w:rsidR="00766E1B" w:rsidRDefault="00766E1B" w:rsidP="00766E1B">
    <w:pPr>
      <w:pStyle w:val="Footer"/>
      <w:ind w:left="-142"/>
    </w:pPr>
    <w:r>
      <w:rPr>
        <w:noProof/>
        <w:lang w:eastAsia="en-GB"/>
      </w:rPr>
      <w:drawing>
        <wp:anchor distT="0" distB="0" distL="114300" distR="114300" simplePos="0" relativeHeight="251661312" behindDoc="0" locked="0" layoutInCell="1" allowOverlap="1">
          <wp:simplePos x="0" y="0"/>
          <wp:positionH relativeFrom="column">
            <wp:posOffset>5314950</wp:posOffset>
          </wp:positionH>
          <wp:positionV relativeFrom="paragraph">
            <wp:posOffset>99695</wp:posOffset>
          </wp:positionV>
          <wp:extent cx="752475" cy="828675"/>
          <wp:effectExtent l="19050" t="0" r="9525" b="0"/>
          <wp:wrapSquare wrapText="bothSides"/>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52475" cy="828675"/>
                  </a:xfrm>
                  <a:prstGeom prst="rect">
                    <a:avLst/>
                  </a:prstGeom>
                  <a:noFill/>
                  <a:ln w="9525">
                    <a:noFill/>
                    <a:miter lim="800000"/>
                    <a:headEnd/>
                    <a:tailEnd/>
                  </a:ln>
                </pic:spPr>
              </pic:pic>
            </a:graphicData>
          </a:graphic>
        </wp:anchor>
      </w:drawing>
    </w:r>
    <w:r>
      <w:rPr>
        <w:noProof/>
        <w:lang w:eastAsia="en-GB"/>
      </w:rPr>
      <w:drawing>
        <wp:inline distT="0" distB="0" distL="0" distR="0">
          <wp:extent cx="2972435" cy="504825"/>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972435" cy="504825"/>
                  </a:xfrm>
                  <a:prstGeom prst="rect">
                    <a:avLst/>
                  </a:prstGeom>
                  <a:noFill/>
                </pic:spPr>
              </pic:pic>
            </a:graphicData>
          </a:graphic>
        </wp:inline>
      </w:drawing>
    </w:r>
  </w:p>
  <w:p w:rsidR="00766E1B" w:rsidRDefault="00766E1B" w:rsidP="00766E1B">
    <w:pPr>
      <w:pStyle w:val="Footer"/>
      <w:ind w:left="-142"/>
    </w:pPr>
    <w:r w:rsidRPr="00766E1B">
      <w:t xml:space="preserve"> </w:t>
    </w:r>
  </w:p>
  <w:p w:rsidR="008550A1" w:rsidRPr="00766E1B" w:rsidRDefault="00766E1B">
    <w:pPr>
      <w:pStyle w:val="Footer"/>
      <w:rPr>
        <w:color w:val="002060"/>
      </w:rPr>
    </w:pPr>
    <w:r>
      <w:rPr>
        <w:color w:val="002060"/>
      </w:rPr>
      <w:t>Murraywood Construction Ltd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E03" w:rsidRDefault="005A7E03" w:rsidP="007B6614">
      <w:pPr>
        <w:spacing w:after="0" w:line="240" w:lineRule="auto"/>
      </w:pPr>
      <w:r>
        <w:separator/>
      </w:r>
    </w:p>
  </w:footnote>
  <w:footnote w:type="continuationSeparator" w:id="0">
    <w:p w:rsidR="005A7E03" w:rsidRDefault="005A7E03" w:rsidP="007B66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14" w:rsidRDefault="00E66ED5" w:rsidP="00554D7F">
    <w:pPr>
      <w:pStyle w:val="Header"/>
      <w:tabs>
        <w:tab w:val="clear" w:pos="9026"/>
        <w:tab w:val="right" w:pos="9639"/>
      </w:tabs>
      <w:ind w:left="-142" w:right="-613"/>
    </w:pPr>
    <w:r>
      <w:rPr>
        <w:noProof/>
        <w:lang w:eastAsia="en-GB"/>
      </w:rPr>
      <w:drawing>
        <wp:inline distT="0" distB="0" distL="0" distR="0">
          <wp:extent cx="2495550" cy="654076"/>
          <wp:effectExtent l="19050" t="0" r="0" b="0"/>
          <wp:docPr id="22" name="Picture 4" descr="C:\Users\simon.ball\Documents\Murraywood\Logo's\MURRAYWOOD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mon.ball\Documents\Murraywood\Logo's\MURRAYWOOD LOGO small.jpg"/>
                  <pic:cNvPicPr>
                    <a:picLocks noChangeAspect="1" noChangeArrowheads="1"/>
                  </pic:cNvPicPr>
                </pic:nvPicPr>
                <pic:blipFill>
                  <a:blip r:embed="rId1"/>
                  <a:srcRect/>
                  <a:stretch>
                    <a:fillRect/>
                  </a:stretch>
                </pic:blipFill>
                <pic:spPr bwMode="auto">
                  <a:xfrm>
                    <a:off x="0" y="0"/>
                    <a:ext cx="2495550" cy="654076"/>
                  </a:xfrm>
                  <a:prstGeom prst="rect">
                    <a:avLst/>
                  </a:prstGeom>
                  <a:noFill/>
                  <a:ln w="9525">
                    <a:noFill/>
                    <a:miter lim="800000"/>
                    <a:headEnd/>
                    <a:tailEnd/>
                  </a:ln>
                </pic:spPr>
              </pic:pic>
            </a:graphicData>
          </a:graphic>
        </wp:inline>
      </w:drawing>
    </w:r>
    <w:r w:rsidR="00127E77" w:rsidRPr="00127E77">
      <w:rPr>
        <w:noProof/>
        <w:lang w:val="en-US" w:eastAsia="zh-TW"/>
      </w:rPr>
      <w:pict>
        <v:shapetype id="_x0000_t202" coordsize="21600,21600" o:spt="202" path="m,l,21600r21600,l21600,xe">
          <v:stroke joinstyle="miter"/>
          <v:path gradientshapeok="t" o:connecttype="rect"/>
        </v:shapetype>
        <v:shape id="_x0000_s4098" type="#_x0000_t202" style="position:absolute;left:0;text-align:left;margin-left:218.25pt;margin-top:2.1pt;width:263.6pt;height:50.25pt;z-index:251660288;mso-position-horizontal-relative:text;mso-position-vertical-relative:text;mso-width-relative:margin;mso-height-relative:margin" strokeweight="1.75pt">
          <v:stroke linestyle="thinThick"/>
          <v:textbox>
            <w:txbxContent>
              <w:p w:rsidR="001A06BF" w:rsidRDefault="002870F5" w:rsidP="00862644">
                <w:pPr>
                  <w:jc w:val="center"/>
                  <w:rPr>
                    <w:rFonts w:ascii="Georgia" w:hAnsi="Georgia"/>
                    <w:b/>
                    <w:color w:val="002060"/>
                    <w:sz w:val="28"/>
                    <w:szCs w:val="28"/>
                  </w:rPr>
                </w:pPr>
                <w:r>
                  <w:rPr>
                    <w:rFonts w:ascii="Georgia" w:hAnsi="Georgia"/>
                    <w:b/>
                    <w:color w:val="002060"/>
                    <w:sz w:val="28"/>
                    <w:szCs w:val="28"/>
                  </w:rPr>
                  <w:t xml:space="preserve">Case Study - </w:t>
                </w:r>
                <w:r w:rsidR="00862644">
                  <w:rPr>
                    <w:rFonts w:ascii="Georgia" w:hAnsi="Georgia"/>
                    <w:b/>
                    <w:color w:val="002060"/>
                    <w:sz w:val="28"/>
                    <w:szCs w:val="28"/>
                  </w:rPr>
                  <w:t xml:space="preserve">Manchester City Football </w:t>
                </w:r>
                <w:r w:rsidR="00010FD9">
                  <w:rPr>
                    <w:rFonts w:ascii="Georgia" w:hAnsi="Georgia"/>
                    <w:b/>
                    <w:color w:val="002060"/>
                    <w:sz w:val="28"/>
                    <w:szCs w:val="28"/>
                  </w:rPr>
                  <w:t xml:space="preserve">Club </w:t>
                </w:r>
                <w:r w:rsidR="00862644">
                  <w:rPr>
                    <w:rFonts w:ascii="Georgia" w:hAnsi="Georgia"/>
                    <w:b/>
                    <w:color w:val="002060"/>
                    <w:sz w:val="28"/>
                    <w:szCs w:val="28"/>
                  </w:rPr>
                  <w:t>Training Academy</w:t>
                </w:r>
              </w:p>
              <w:p w:rsidR="00862644" w:rsidRDefault="00862644" w:rsidP="002870F5">
                <w:pPr>
                  <w:jc w:val="cente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C1CAA"/>
    <w:multiLevelType w:val="hybridMultilevel"/>
    <w:tmpl w:val="DAAA4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7B6614"/>
    <w:rsid w:val="00010FD9"/>
    <w:rsid w:val="000242E7"/>
    <w:rsid w:val="00091025"/>
    <w:rsid w:val="00093A55"/>
    <w:rsid w:val="00127E77"/>
    <w:rsid w:val="00147153"/>
    <w:rsid w:val="00160E96"/>
    <w:rsid w:val="00194A71"/>
    <w:rsid w:val="001A06BF"/>
    <w:rsid w:val="001C4F09"/>
    <w:rsid w:val="00232F71"/>
    <w:rsid w:val="00257F58"/>
    <w:rsid w:val="0028563C"/>
    <w:rsid w:val="002870F5"/>
    <w:rsid w:val="002D6D53"/>
    <w:rsid w:val="00311A8C"/>
    <w:rsid w:val="003B2805"/>
    <w:rsid w:val="00456658"/>
    <w:rsid w:val="00554D7F"/>
    <w:rsid w:val="005A7E03"/>
    <w:rsid w:val="005F59EB"/>
    <w:rsid w:val="006007E1"/>
    <w:rsid w:val="006601FE"/>
    <w:rsid w:val="006C20AF"/>
    <w:rsid w:val="006C2CF6"/>
    <w:rsid w:val="006F4485"/>
    <w:rsid w:val="00722C58"/>
    <w:rsid w:val="00734099"/>
    <w:rsid w:val="00757C67"/>
    <w:rsid w:val="00766E1B"/>
    <w:rsid w:val="007B6614"/>
    <w:rsid w:val="007E4542"/>
    <w:rsid w:val="007F27E0"/>
    <w:rsid w:val="007F59E8"/>
    <w:rsid w:val="008550A1"/>
    <w:rsid w:val="00862644"/>
    <w:rsid w:val="00863163"/>
    <w:rsid w:val="0087394A"/>
    <w:rsid w:val="00880782"/>
    <w:rsid w:val="008A0A7A"/>
    <w:rsid w:val="00920310"/>
    <w:rsid w:val="0099797A"/>
    <w:rsid w:val="009D4D71"/>
    <w:rsid w:val="00A31168"/>
    <w:rsid w:val="00AB4ECC"/>
    <w:rsid w:val="00AF2FC6"/>
    <w:rsid w:val="00C80FEA"/>
    <w:rsid w:val="00CA0471"/>
    <w:rsid w:val="00CE3932"/>
    <w:rsid w:val="00CE560C"/>
    <w:rsid w:val="00D15161"/>
    <w:rsid w:val="00D21671"/>
    <w:rsid w:val="00D26ACE"/>
    <w:rsid w:val="00E66ED5"/>
    <w:rsid w:val="00EE3ECC"/>
    <w:rsid w:val="00F057CD"/>
    <w:rsid w:val="00F53B50"/>
    <w:rsid w:val="00F963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6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4"/>
    <w:rPr>
      <w:rFonts w:ascii="Tahoma" w:hAnsi="Tahoma" w:cs="Tahoma"/>
      <w:sz w:val="16"/>
      <w:szCs w:val="16"/>
    </w:rPr>
  </w:style>
  <w:style w:type="paragraph" w:styleId="Header">
    <w:name w:val="header"/>
    <w:basedOn w:val="Normal"/>
    <w:link w:val="HeaderChar"/>
    <w:uiPriority w:val="99"/>
    <w:semiHidden/>
    <w:unhideWhenUsed/>
    <w:rsid w:val="007B66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6614"/>
  </w:style>
  <w:style w:type="paragraph" w:styleId="Footer">
    <w:name w:val="footer"/>
    <w:basedOn w:val="Normal"/>
    <w:link w:val="FooterChar"/>
    <w:uiPriority w:val="99"/>
    <w:semiHidden/>
    <w:unhideWhenUsed/>
    <w:rsid w:val="007B66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6614"/>
  </w:style>
  <w:style w:type="paragraph" w:styleId="ListParagraph">
    <w:name w:val="List Paragraph"/>
    <w:basedOn w:val="Normal"/>
    <w:uiPriority w:val="34"/>
    <w:qFormat/>
    <w:rsid w:val="00232F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FC709-5D2F-45EB-887D-A4E80768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Ball</dc:creator>
  <cp:lastModifiedBy>Simon Ball</cp:lastModifiedBy>
  <cp:revision>6</cp:revision>
  <cp:lastPrinted>2015-07-21T09:52:00Z</cp:lastPrinted>
  <dcterms:created xsi:type="dcterms:W3CDTF">2015-07-21T15:56:00Z</dcterms:created>
  <dcterms:modified xsi:type="dcterms:W3CDTF">2015-07-23T11:25:00Z</dcterms:modified>
</cp:coreProperties>
</file>